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641"/>
          <w:tab w:val="center" w:pos="4818"/>
        </w:tabs>
        <w:spacing w:after="0" w:before="0" w:line="240" w:lineRule="auto"/>
        <w:ind w:left="432" w:right="0" w:hanging="432"/>
        <w:jc w:val="center"/>
        <w:rPr>
          <w:rFonts w:ascii="Arial" w:cs="Arial" w:eastAsia="Arial" w:hAnsi="Arial"/>
          <w:b w:val="1"/>
          <w:i w:val="0"/>
          <w:smallCaps w:val="0"/>
          <w:strike w:val="0"/>
          <w:color w:val="000000"/>
          <w:sz w:val="16"/>
          <w:szCs w:val="16"/>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 №  __________</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07.0" w:type="dxa"/>
        <w:jc w:val="left"/>
        <w:tblInd w:w="146.0" w:type="dxa"/>
        <w:tblLayout w:type="fixed"/>
        <w:tblLook w:val="0000"/>
      </w:tblPr>
      <w:tblGrid>
        <w:gridCol w:w="4763"/>
        <w:gridCol w:w="4944"/>
        <w:tblGridChange w:id="0">
          <w:tblGrid>
            <w:gridCol w:w="4763"/>
            <w:gridCol w:w="4944"/>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Москва</w:t>
            </w:r>
            <w:r w:rsidDel="00000000" w:rsidR="00000000" w:rsidRPr="00000000">
              <w:rPr>
                <w:rtl w:val="0"/>
              </w:rPr>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 _____________ 20</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__г.</w:t>
            </w:r>
            <w:r w:rsidDel="00000000" w:rsidR="00000000" w:rsidRPr="00000000">
              <w:rPr>
                <w:rtl w:val="0"/>
              </w:rPr>
            </w:r>
          </w:p>
        </w:tc>
      </w:tr>
    </w:tb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Поставщик: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ООО «Поставком»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лице Генерального директора </w:t>
      </w:r>
      <w:r w:rsidDel="00000000" w:rsidR="00000000" w:rsidRPr="00000000">
        <w:rPr>
          <w:sz w:val="24"/>
          <w:szCs w:val="24"/>
          <w:rtl w:val="0"/>
        </w:rPr>
        <w:t xml:space="preserve">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действующего на основании Устава, с одной стороны, 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Покупатель: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 в лице _________________________________________________________________________, действующего на основании ______________________________________________________, с другой стороны, совместно именуемые Стороны, заключили настоящий договор (далее – Договор) о нижеследующем.</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Термины, используемые в Договоре</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Система «4TRUCK»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программное обеспечение Поставщика, используемое для учета Товаров / Услуг, приобретенных Покупателем с использованием микропроцессорных карт.</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Карта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микропроцессорная карта системы «4TRUCK», содержащая информацию об установленных лимитах и количестве денежных средств, в пределах которых Покупатель может получить Товары / Услуги. Количество и номера Карт закрепляются за Покупателем в системе «4TRUCK», номера Карт указываются в реестре операций по Картам.</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Лимитированной Карте Покупатель вправе получить Товары / Услуги в пределах количества денежных средств на Субсчете с учетом установленных лимитов. При полном использовании денежных средств, занесенных на Субсчет, Поставщик вправе приостановить возможность получения Товаров / Услуг.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Товары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горюче-смазочные материалы (бензин, дизельное топливо, газ), а также сопутствующие товары.</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Услуги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мойка транспортных средств (мойка кузова, полировка, чистка салона и т.д.); техническое обслуживание (шиномонтаж).</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Субсчет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рублевый счет Покупателя в системе «4TRUCK».</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Точка обслуживания (далее - ТО)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место (в том числе АЗС), в котором осуществляется отпуск Товара и / или оказываются Услуги. Поставщик вправе изменять список ТО в одностороннем порядке с последующим уведомлением Покупателя путем размещения на сайте нового списка.</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заявка от Покупателя на операции по Карте (установление лимитов на Карте, блокировка / разблокировка Карты). </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Чек терминала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чек, выдаваемый терминалом и содержащий информацию о совершенной операции по получению Товаров / Услуг. В чеке содержится информация о розничной цене Товаров / Услуг на ТО, которая носит исключительно справочный характер, т.к. Товары / Услуги оплачиваются Покупателем на условиях настоящего Договора.</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Предмет договора</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обязуется передать Покупателю Карты, Товары и оказать Услуги, а Покупатель принять и оплатить Карты, Товары и Услуги.</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Товаров / оказание Услуг осуществляется в течение срока действия настоящего Договора по требованию Покупателя на ТО.</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Фактическое количество поставленных Товаров / оказанных Услуг определяется исходя из данных системы «4TRUCK».</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собственности на Карту переходит к Покупателю с момента подписания Сторонами акта приема-передачи.</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 собственности на Товары переходит от Поставщика к Покупателю при получении Покупателем Товаров на ТО в момент слива Товаров в бак транспортного средства или иную соответствующую емкость.</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038"/>
        </w:tabs>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Документом, подтверждающим стоимость, количество и ассортимент поставленных Товаров / оказанных Услуг, является реестр операций по Картам, составляемый Поставщиком по данным системы «4TRUCK».</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реестре операций по Картам указывается цена каждой операции по получению Товаров / Услуг.</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каждой операции, указанная в реестре операций по Картам, по получению Товаров / Услуг на территории РФ соответствует розничной цене на ТО на дату получения Товаров / Услуг.</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обнаружения расхождений данных Покупателя и Поставщика, Покупатель обязан письменно информировать Поставщика по существу выявленных расхождений.</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Оплата и выдача Карт</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приобретаются на условиях предварительной оплаты.</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подписания настоящего Договора, Поставщик выставляет Покупателю счет на оплату в соответствии с ценами Карт в Прайс-листе на дату выставления счета. Счет на оплату Карт считается действительным и может быть оплачен Покупателем в течение 3 (трех) рабочих дней с момента выставления.</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произведенная по истечению 3 (трех) рабочих дней с момента выставления счета, по усмотрению Поставщика может быть принята им в соответствие с данным счетом.</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вправе не принимать Заявку на форматирование Карт до их оплаты.</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осуществляет форматирование Карт (устанавливаются лимиты по получению Товаров / Услуг) на основании Заявки. Карты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форматируются в течение 2 (двух) 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момента получения Поставщиком Заявки.</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Изменение лимитов на Картах возможно Поставщиком по Заявке Покупателя. Получение Товаров / Услуг невозможно без установления лимитов для данного ассортимента Товаров / Услуг. Количество и ассортимент Товаров / Услуг определяется лимитом, установленным на Картах.</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вправе получить Карты после их форматирования по месту фактического нахождения Поставщика. Карты передаются по акту приема-передачи и универсально передаточному документу (УПД).</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Вместе с Картами передаются пин-конверты. Подписанием акта приема-передачи на Карты Покупатель подтверждает получение Карт и пин-конвертов.</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Карт представитель Покупателя обязан предоставить документы, подтверждающие его полномочия (паспорт, если он является генеральным директором, или доверенность или документ, на основании которого лицо вправе действовать от имени Покупателя без доверенности).</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Пополнение Субсчета, изменение лимитов</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осуществляет пополнение Субсчета Покупателя в течение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одного рабочего дня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момента поступления денежных средств на расчетный счет Поставщика в соответствие со счетом, выставленным Поставщиком.</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уведомляет Покупателя о пополнении Субсчета коротким текстовым сообщением (sms) на номер мобильного телефона и/или письмом на адрес электронной почты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указанные Покупателем в соответствующем разделе Личного кабинета Покупателя. Покупатель вправе отказаться от получения уведомлений о пополнении Субсчета путем указания соответствующей информации в Личном кабинете.</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0" w:right="58"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осуществляет изменение лимитов на картах Покупателя в течение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 (двух) 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момента получения от Покупателя Заявки.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Блокировка Карты</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Карты могут быть заблокированы:</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причине исчерпания внесенных денежных средств, в пределах которых Покупатель вправе получить Товары / Услуги;</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желанию Покупателя;</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причине неверно введенного пин-кода;</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признании Покупателя банкротом или начале процедуры ликвидации Покупателя;</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прекращении настоящего Договора.</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вправе предупредить Покупателя о необходимости внесения предоплаты за Товары / Услуги.</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блокировке Карт по причине образования задолженности Поставщик вправе не разблокировать Карты до полного погашения задолженности, а также, в случае оплаты Товаров / Услуг на условиях предоплаты, до внесения предоплаты в размере не менее средней стоимости Товаров / Услуг, получаемых за три дня, на основании данных за предыдущий месяц. После полного погашения задолженности, а также, в случае оплаты Товаров / Услуг на условиях предоплаты, после внесения предоплаты в установленном размере Поставщик разблокирует Карты в течение одного часа.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рабочее время, установленное у Поставщика, Покупатель подает письменную заявку о блокировке / разблокировке Карт по форме Заявки.</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блокирует / разблокирует Карты в течение 1 часа с момента получения соответствующего обращения Покупателя.</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введения неверного пин-кода Карта автоматически блокируется, после чего Покупатель обязан не допускать последующего ввода пин-кода. Карта может быть разблокирована Поставщиком после получения от Покупателя Заявки.</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Повреждение и утрата Карт</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56"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замены поврежденной Карты Покупатель приобретает у Поставщика новую Карту в порядке, установленном в настоящем Договоре.</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57"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обязан предпринимать все возможные меры для предотвращения повреждения, утраты и незаконного использования Карты.</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утраты Карты, Покупатель обязан незамедлительно самостоятельно заблокировать Карту в Личном кабинете Покупателя или сообщить об этом Поставщику в порядке, установленном в настоящем Договоре, для осуществления блокировки Карты.</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57"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Порядок расчетов за Товары и Услуги</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за отчетный месяц Товаров / Услуг является средней и определяется на основании общей стоимости и общего количества полученных за отчетный месяц Товаров / Услуг.</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стоимость Товаров / Услуг, полученных за отчетный месяц на территории РФ, определяется как сумма стоимостей операций по получению Товаров / Услуг, осуществленных по розничным ценам, установленным на ТО на дату выборки Товаров / получения Услуг.</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стоимость Товаров / Услуг, полученных за отчетный месяц вне территории РФ, определяется как сумма стоимостей операций по получению Товаров / Услуг, осуществленных по розничным ценам, установленным на ТО на дату выборки Товаров / получения Услуг плюс один процент.</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Товаров, получаемых на территории РФ, включает НДС, в размере согласно законодательству РФ. Цена Товаров, получаемых вне территории РФ, не включает НДС согласно законодательству РФ.</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Услуг включает НДС </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исключением Услуг на ТО, использующих специальные налоговые режимы, не предусматривающие уплату НДС.</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других стран розничная цена товаров указывается на чеке терминала в валюте государства, на территории которого производится отпуск Товаров, получение Услуг.</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Пересчет стоимости Товаров в российские рубли производится следующим образом. Пересчет из валюты государства в евро производится по курсу, установленному национальным банком страны получения Товаров / Услуг на день выборки Товара. Затем пересчет из евро в российские рубли производится по курсу, установленному ЦБ РФ на день выборки Товара. Оплата производится в российских рублях.</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 Услуги оплачиваются на условиях предоплаты. При необходимости Покупатель может запросить у Поставщика счет.</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внесения предоплаты за Товары / Услуги, получаемые за пределами РФ, Покупатель обязан осуществлять оплату без НДС.</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обязан самостоятельно контролировать расход внесенной предоплаты и не допускать возникновения задолженности.</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образования задолженности, Покупатель обязан погасить ее в течение 3 (трех) рабочих дней от даты ее возникновения.</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у Покупателя чека терминала на полученные Товары / Услуги не является основанием для отказа Покупателя от оплаты полученных Товаров/Услуг, указанных в реестре операций по Картам.</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Обязательства Покупателя по оплате считаются выполненными с момента поступления денежных средств на расчетный счет Поставщика.</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оплаты, причитающихся Поставщику по настоящему Договору денежных сумм третьими лицами, в платежных документах в назначении платежа должна содержаться информация о наименовании Покупателя, номере и дате настоящего Договора, счете, по которому производится оплата. При отсутствии необходимой информации в платежных документах, поступающих от третьих лиц, платеж признается невыясненным до предоставления в письменном виде информации от третьего лица, осуществившего платеж, о назначении платежа согласно требованиям.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Покупатель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период.</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получения Покупателем Услуг, при отсутствии отдельного платежа за Услуги, Поставщик вправе зачесть соответствующую часть денежных средств, оплаченных за Товары, в счет оплаты Услуг. Право зачета денежных средств в счет оплаты Услуг возникает у Поставщика по окончанию отчетного периода, в который были оказаны Услуги, при этом письма от Покупателя об изменении назначения денежных средств не требуется.</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договорились, что, законные проценты за период пользования денежными средствами не начисляются и не уплачиваются (п.1 ст.317.1 ГК РФ), в том числе:</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firstLine="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не обязан уплачивать проценты на сумму задолженности по оплате купленных товаров и оказанных услуг</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67" w:right="0" w:firstLine="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не обязан уплачивать проценты на сумму аванса, полученного от Покупателя.</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Порядок поставки Товаров и оказания Услуг</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Товаров производится путем выборки Товаров на ТО по Картам с использованием терминалов для приема Карт.</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Горюче-смазочные материалы (бензин, дизельное топливо, газ) поставляются через топливораздаточные / газораздаточные колонки.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Поставка Товаров / оказание Услуг осуществляется в соответствие с режимом работы ТО с учетом технических перерывов в работе терминалов.</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Товаров / Услуг необходимо передать Карту сотруднику ТО, сообщить количество и ассортимент Товаров / Услуг, которые требуется приобрести, а также назвать пин-код сотруднику ТО или самостоятельно ввести пин-код. Сотрудник ТО, используя терминал для приема Карт, проводит операцию по списанию Товаров / Услуг с Карты.</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Операция по списанию Товаров / Услуг, может быть остановлена терминалом по следующим причинам:</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запрашиваемых Товаров / Услуг превышает доступное количество денежных средств или установленный лимит;</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запрашивается ассортимент Товаров / Услуг, не разрешенный к отпуску;</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карта заблокирована;</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67" w:right="56"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 неправильный пин-код.</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операция по списанию Товаров / Услуг проведена, а Покупатель по каким-либо причинам, не получив Товары / Услуги, отказывается от их приобретения, в обязательном порядке должна быть проведена отмена операции, для чего Карта безотлагательно должна быть предоставлена сотруднику ТО.</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каждой операции с Картой Покупателю на ТО в обязательном порядке выдается чек терминала. В случае успешного обслуживания – чек о совершенной операции. В случае неуспешной операции с Картой – чек отказа с указанием причины отказа в совершении операции. Все спорные вопросы, связанные с обслуживанием по Картам, рассматриваются Поставщиком только при предъявлении соответствующих чеков терминала.</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чеке терминала о совершенной операции указывается дата и время операции, номер Карты, номер терминала, количество и ассортимент Товаров / Услуг, справочная информация о цене и стоимости Товаров / Услуг, а также иная информация. Покупатель обязан проверить только правильность указанных в чеке терминала ассортимента и количества Товаров / Услуг.</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получении Товаров / Услуг по Карте уменьшается количество денежных средств на Субсчете Покупателя.</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Вывоз Товаров за пределы страны приобретения не производится.</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Качество Товаров и Услуг</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Подтверждением ненадлежащего качества Товаров / Услуг служит акт экспертизы.</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Качество горюче-смазочных материалов должно соответствовать ГОСТам и ТУ на данный ассортимент горюче-смазочных материалов и подтверждаться сертификатом качества, выданным заводом – производителем.</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Подтверждением ненадлежащего качества горюче-смазочных материалов (несоответствия ГОСТам и ТУ) служит акт экспертизы независимой экспертной организации, аккредитованной при Федеральном агентстве по техническому регулированию и метрологии РФ или ином органе, в соответствие с законодательством страны, в которой должна быть проведена экспертиза горюче-смазочных материалов. Экспертная организация проводит отбор арбитражных проб горюче-смазочных материалов на ТО, которая произвела отпуск горюче-смазочных материалов Покупателю, а также отбор проб из топливного бака / газового баллона автотранспортного средства по правилам соответствующего стандарта.</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подтверждения экспертной организацией факта отпуска на ТО некачественных горюче-смазочных материалов Покупателю, а также факта повреждения транспортного средства Покупателя по причине заправки транспортного средства некачественными горюче-смазочными материалами, Поставщик возмещает Покупателю причиненный ущерб и затраты по проведению независимой экспертизы. Размер ущерба и стоимость затрат по проведению независимой экспертизы должны быть реальными и документально подтвержденными.</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Товары / Услуги считаются поставленными / оказанными по качеству в соответствии с условиями настоящего Договора, если в течение 5 (пяти) календарных дней со дня выборки Товаров / оказания Услуг Покупатель не заявит претензии по качеству. К претензии обязательно предоставление чека терминала, а также акта экспертизы. Без предоставления акта экспертизы, подтверждающего ненадлежащее качество Товаров / Услуг, Поставщик вправе не удовлетворять требования Покупателя.</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Порядок передачи отчетных документов</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выставляет Покупателю следующие документы, содержащие данные за отчетный месяц (далее – Отчетные документы):</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универсальный передаточный документ (УПД);</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реестр операций по Картам.</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Счета-фактуры и акты приема-передачи сопутствующих товаров содержат указание общей стоимости сопутствующих товаров, без конкретизации ассортимента товаров.</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Отчетные документы датируются последним числом отчетного месяца. Отчетные документы подготавливаются Поставщиком после обработки данных, полученных из системы «4TRUCK», в течение 7 (семи) рабочих дней месяца, следующего за отчетным.</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подготавливает акт сверки взаимных расчетов по мере необходимости, но не реже одного раза в год.</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отправляет Покупателю Отчетные документы и акты сверки взаиморасчетов по почте.</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течение двух недель (а если Покупатель является нерезидентом РФ - в течение 10 (десяти) календарных дней) после окончания срока подготовки Отчетных документов, Поставщик не получил подписанные со стороны Покупателя оригиналы актов приема-передачи, актов оказания услуг и / или актов сверки взаиморасчетов либо мотивированного отказа от их подписания, акты считаются подписанными в редакции Поставщика, а Товары / Услуги поставленными в количестве и по цене, указанным в актах по данным Поставщика.</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в разделе «Реквизиты Сторон» кроме наименования Покупателя указано также обособленное подразделение Покупателя, то в счете-фактуре в качестве грузополучателя указывается данное обособленное подразделение.</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Ответственность сторон</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полностью отвечает за все операции, совершенные с использованием Карт.</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не несет ответственности перед Покупателем в случае несанкционированного использования Карт третьими лицами, кроме случаев несвоевременной блокировки Карты, произошедшей по вине Поставщика.</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нарушении Поставщиком срока возврата денежных средств Покупателя в связи с прекращением действия настоящего Договора, Поставщик на основании требования от Покупателя обязуется уплатить неустойку в размере 0,3% от суммы денежных средств, подлежащей возврату за каждый день просрочки.</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Покупателем сроков оплаты задолженности перед Поставщиком за Товары / Услуги, полученные на территории РФ или за ее пределами, Покупатель на основании требования от Поставщика обязуется уплатить пеню в размере 0,3% от стоимости несвоевременно оплаченных Товаров / Услуг за каждый день просрочки.</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нарушения Покупателем порядка и / или сроков оплаты задолженности перед Поставщиком за Товары / Услуги, не облагаемые НДС, Поставщик вправе в безакцептном порядке удержать из суммы предоплаты с учетом НДС, полученной от Покупателя, одновременно или частями штраф в размере </w:t>
      </w:r>
      <w:r w:rsidDel="00000000" w:rsidR="00000000" w:rsidRPr="00000000">
        <w:rPr>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 стоимости несвоевременно оплаченных Товаров / Услуг, не облагаемых НДС.</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Покупатель является нерезидентом РФ, в случае просрочки платежа по настоящему Договору относительно согласованной Сторонами даты платежа, помимо иной ответственности, предусмотренной в настоящем Договоре, Покупатель обязуется возместить все убытки, понесенные Поставщиком в связи с просрочкой оплаты, включая, но не ограничиваясь этим, убытки, связанные с уплатой Поставщиком административных штрафов за несвоевременное поступление выручки. Покупатель обязуется возместить Поставщику убытки в течение 5 (пяти) банковских дней с даты получения требования Поставщика и копий подтверждающих документов.</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вправе зачесть сумму данных убытков, а также сумму неустойки, из суммы предоплаты, полученной от Покупателя, одновременно или частями, и (или) потребовать от Покупателя уплату соответствующих сумм полностью или в части, непокрытой предоплатой. Поставщик направляет Покупателю уведомление о зачете с приложением документов, подтверждающих требования Поставщика к Покупателю.</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неисполнение или ненадлежащее исполнение иных своих обязательств по настоящему Договору Стороны несут ответственность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Разрешение споров</w:t>
      </w:r>
      <w:r w:rsidDel="00000000" w:rsidR="00000000" w:rsidRPr="00000000">
        <w:rPr>
          <w:rtl w:val="0"/>
        </w:rPr>
      </w:r>
    </w:p>
    <w:p w:rsidR="00000000" w:rsidDel="00000000" w:rsidP="00000000" w:rsidRDefault="00000000" w:rsidRPr="00000000" w14:paraId="0000007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возникновения споров при исполнении настоящего Договора или в связи с ним, за исключением споров по взысканию задолженности с Покупателя, Стороны обязуются решать их путем переговоров с соблюдением претензионного порядка. Срок рассмотрения претензии - 30 (тридцать) календарных дней от даты ее получения.</w:t>
      </w:r>
      <w:r w:rsidDel="00000000" w:rsidR="00000000" w:rsidRPr="00000000">
        <w:rPr>
          <w:rtl w:val="0"/>
        </w:rPr>
      </w:r>
    </w:p>
    <w:p w:rsidR="00000000" w:rsidDel="00000000" w:rsidP="00000000" w:rsidRDefault="00000000" w:rsidRPr="00000000" w14:paraId="0000007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420" w:right="0" w:hanging="42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случае отказа в удовлетворении претензии или неполучения ответа на претензию, споры передаются на рассмотрение в Арбитражный суд города Москвы. Споры по взысканию задолженности с Покупателя могут передаваться в Арбитражный суд без соблюдения претензионного порядка.</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90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 Форс-мажорные обстоятельства</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продолжительность обстоятельств форс-мажора превышает 30 (тридцать) календарных дней настоящий Договор может быть расторгнут по письменному заявлению любой из Сторон.</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Срок действия договора</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вступает в силу с момента подписания.</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действует по 31 декабря 20</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включительно, в части исполнения обязательств по взаиморасчетам - до полного их выполнения, в части требований о конфиденциальности в соответствие с настоящим Договором.</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отсутствия за один месяц до окончания срока действия настоящего Договора письменных возражений от какой-либо из Сторон, настоящий Договор ежегодно пролонгируется на каждый последующий календарный год.</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может быть расторгнут досрочно во внесудебном порядке по инициативе любой из Сторон с предварительным письменным уведомлением другой Стороны не менее чем за 30 (тридцать) календарных дней до предполагаемой даты расторжения настоящего Договора. Уведомление о расторжении настоящего Договора считается полученным при получении оригинала данного уведомления.</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не имеет права расторгать настоящий Договор в одностороннем порядке до полного погашения задолженности перед Поставщиком.</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обязан прекратить получение Товаров / Услуг по Картам после прекращения действия настоящего Договора. Поставщик вправе заблокировать Карты в любой момент после прекращения действия настоящего Договора.</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Карты были заблокированы в течение календарного месяца, в котором прекращает действие настоящий Договор, Поставщик вправе подготовить акт сверки взаимных расчетов до 15 (пятнадцатого) числа месяца, следующего за месяцем прекращения действия настоящего Договора.</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прекращения действия настоящего Договора при наличии задолженности у Поставщика перед Покупателем, Поставщик возвращает денежные средства в течение 10 (десяти) рабочих дней с момента получения оригиналов следующих документов, подписанных со стороны Покупателя:</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сверки взаимных расчетов;</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дополнительное соглашение о расторжении настоящего Договора, если не был реализован односторонний порядок расторжения настоящего Договора;</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в тот же срок направляет Покупателю мотивированные письменные возражения по предоставленным документам.</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Поставщик не получил акт сверки взаимных расчетов, подписанный со стороны Покупателя, или мотивированное возражение по нему в течение 3 (трех) месяцев после отправки актов Покупателю, Поставщик вправе произвести расчет с Покупателем на основании своих данных о задолженности.</w:t>
      </w:r>
    </w:p>
    <w:p w:rsidR="00000000" w:rsidDel="00000000" w:rsidP="00000000" w:rsidRDefault="00000000" w:rsidRPr="00000000" w14:paraId="0000008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прекращения действия настоящего Договора при наличии задолженности у Покупателя перед Поставщиком, Покупатель возвращает денежные средства в течение 10 (десяти) рабочих дней с момента получения оригиналов следующих документов, подписанных со стороны Поставщика:</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акт сверки взаимных расчетов;</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дополнительное соглашение о расторжении настоящего Договора, если не был реализован односторонний порядок расторжения настоящего Договора;</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или в тот же срок предоставляет Поставщику мотивированные письменные возражения по предоставленным документам.</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направленные Покупателю по почте, считаются полученными при наличии уведомления о вручении или при возврате письма отправителю.</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 Прочие условия</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изменения и дополнения к настоящему Договору оформляются в письменной форме.</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изменении реквизитов, а также реорганизации Стороны подписывают дополнительное соглашение. До подписания соответствующего дополнительного соглашения Стороны вправе руководствоваться ранее указанными реквизитами.</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обязан в письменном виде сообщать Поставщику с приложением подтверждающих документов об изменении своего наименования, местонахождения, банковских и иных реквизитов, смене исполнительного органа, внесении изменений в сведения о Покупателе, в течение 10 (десяти) рабочих дней, следующих за днем, в который эти изменения фактически произошли или прошли государственную регистрацию, если таковая необходима в соответствие с законодательством.</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Подписанием настоящего Договора Покупатель выражает согласие на получение информации, касающейся настоящего Договора, по номеру мобильного телефона, указанному в реквизитах настоящего Договора, или иному номеру, сообщенному Покупателем.</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оригинала письма от Покупателя Поставщик вправе восстановить утраченные Отчетные документы Покупателя с отметкой «Дубликат».</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Поставщик направляет Покупателю счета посредством электронной почты или факсимильной связи без последующего направления оригинала.</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вправе направлять другой Стороне документы по факсимильной связи или электронной почте с направлением оригиналов другой Стороне в разумный срок. Риск искажения информации при ее передаче несет Сторона, отправившая соответствующую информацию.</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Документы, за исключением счетов, переданные по факсимильной связи или электронной почте, считаются действительными в течение 30 (тридцати) календарных дней с момента их получения. После истечения данного срока документ перестает действовать до поступления оригинала. Сторона, получившая документ по факсимильной связи или электронной почте, вправе по своему усмотрению продлевать срок его действия.</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Если Покупатель нерезидент РФ, зарегистрировал обособленное подразделение на территории РФ, направление корреспонденции в адрес данного обособленного подразделения, является надлежащим и достаточным уведомлением Покупателя.</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регулируется и толкуется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Все расчеты по настоящему Договору производятся в валюте Российской Федерации.</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составлен и подписан в двух подлинных идентичных экземплярах, имеющих равную юридическую силу, по одному для каждой из Сторон.</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Реквизиты Сторон</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95.0" w:type="dxa"/>
        <w:jc w:val="left"/>
        <w:tblInd w:w="35.999999999999986" w:type="dxa"/>
        <w:tblLayout w:type="fixed"/>
        <w:tblLook w:val="0000"/>
      </w:tblPr>
      <w:tblGrid>
        <w:gridCol w:w="5000"/>
        <w:gridCol w:w="4995"/>
        <w:tblGridChange w:id="0">
          <w:tblGrid>
            <w:gridCol w:w="5000"/>
            <w:gridCol w:w="4995"/>
          </w:tblGrid>
        </w:tblGridChange>
      </w:tblGrid>
      <w:tr>
        <w:trPr>
          <w:trHeight w:val="182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Поставщик</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ООО «Поставком»</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Покупатель</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Подписи Сторон</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970.0" w:type="dxa"/>
        <w:jc w:val="left"/>
        <w:tblInd w:w="60.99999999999998" w:type="dxa"/>
        <w:tblLayout w:type="fixed"/>
        <w:tblLook w:val="0000"/>
      </w:tblPr>
      <w:tblGrid>
        <w:gridCol w:w="4925"/>
        <w:gridCol w:w="5045"/>
        <w:tblGridChange w:id="0">
          <w:tblGrid>
            <w:gridCol w:w="4925"/>
            <w:gridCol w:w="5045"/>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Поставщик</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Генеральный директор</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3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Покупатель</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 ____________</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М.П.</w:t>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footerReference r:id="rId8" w:type="first"/>
      <w:pgSz w:h="16838" w:w="11906"/>
      <w:pgMar w:bottom="851" w:top="851" w:left="1225" w:right="851"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стр.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5.1.%1"/>
      <w:lvlJc w:val="left"/>
      <w:pPr>
        <w:ind w:left="1287" w:hanging="360.0000000000002"/>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2.%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5.%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6.%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7.%1"/>
      <w:lvlJc w:val="left"/>
      <w:pPr>
        <w:ind w:left="1287" w:hanging="360.0000000000002"/>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8.%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0.1.%1"/>
      <w:lvlJc w:val="left"/>
      <w:pPr>
        <w:ind w:left="1287" w:hanging="360.0000000000002"/>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2"/>
      <w:numFmt w:val="decimal"/>
      <w:lvlText w:val="%1"/>
      <w:lvlJc w:val="left"/>
      <w:pPr>
        <w:ind w:left="420" w:hanging="420"/>
      </w:pPr>
      <w:rPr>
        <w:sz w:val="24"/>
        <w:szCs w:val="24"/>
        <w:vertAlign w:val="baseline"/>
      </w:rPr>
    </w:lvl>
    <w:lvl w:ilvl="1">
      <w:start w:val="1"/>
      <w:numFmt w:val="decimal"/>
      <w:lvlText w:val="%1.%2"/>
      <w:lvlJc w:val="left"/>
      <w:pPr>
        <w:ind w:left="420" w:hanging="420"/>
      </w:pPr>
      <w:rPr>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720" w:hanging="720"/>
      </w:pPr>
      <w:rPr>
        <w:sz w:val="24"/>
        <w:szCs w:val="24"/>
        <w:vertAlign w:val="baseline"/>
      </w:rPr>
    </w:lvl>
    <w:lvl w:ilvl="4">
      <w:start w:val="1"/>
      <w:numFmt w:val="decimal"/>
      <w:lvlText w:val="%1.%2.%3.%4.%5"/>
      <w:lvlJc w:val="left"/>
      <w:pPr>
        <w:ind w:left="720" w:hanging="720"/>
      </w:pPr>
      <w:rPr>
        <w:sz w:val="24"/>
        <w:szCs w:val="24"/>
        <w:vertAlign w:val="baseline"/>
      </w:rPr>
    </w:lvl>
    <w:lvl w:ilvl="5">
      <w:start w:val="1"/>
      <w:numFmt w:val="decimal"/>
      <w:lvlText w:val="%1.%2.%3.%4.%5.%6"/>
      <w:lvlJc w:val="left"/>
      <w:pPr>
        <w:ind w:left="1080" w:hanging="1080"/>
      </w:pPr>
      <w:rPr>
        <w:sz w:val="24"/>
        <w:szCs w:val="24"/>
        <w:vertAlign w:val="baseline"/>
      </w:rPr>
    </w:lvl>
    <w:lvl w:ilvl="6">
      <w:start w:val="1"/>
      <w:numFmt w:val="decimal"/>
      <w:lvlText w:val="%1.%2.%3.%4.%5.%6.%7"/>
      <w:lvlJc w:val="left"/>
      <w:pPr>
        <w:ind w:left="1080" w:hanging="1080"/>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440" w:hanging="1440"/>
      </w:pPr>
      <w:rPr>
        <w:sz w:val="24"/>
        <w:szCs w:val="24"/>
        <w:vertAlign w:val="baseline"/>
      </w:rPr>
    </w:lvl>
  </w:abstractNum>
  <w:abstractNum w:abstractNumId="9">
    <w:lvl w:ilvl="0">
      <w:start w:val="1"/>
      <w:numFmt w:val="decimal"/>
      <w:lvlText w:val="8.3.%1"/>
      <w:lvlJc w:val="left"/>
      <w:pPr>
        <w:ind w:left="1287" w:hanging="360.0000000000002"/>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1.%1"/>
      <w:lvlJc w:val="left"/>
      <w:pPr>
        <w:ind w:left="1287" w:hanging="360.0000000000002"/>
      </w:pPr>
      <w:rPr>
        <w:rFonts w:ascii="Times New Roman" w:cs="Times New Roman" w:eastAsia="Times New Roman" w:hAnsi="Times New Roman"/>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lvl w:ilvl="0">
      <w:start w:val="1"/>
      <w:numFmt w:val="decimal"/>
      <w:lvlText w:val="3.%1"/>
      <w:lvlJc w:val="left"/>
      <w:pPr>
        <w:ind w:left="1287" w:hanging="360.0000000000002"/>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4.%1"/>
      <w:lvlJc w:val="left"/>
      <w:pPr>
        <w:ind w:left="1428"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decimal"/>
      <w:lvlText w:val="10.%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1"/>
      <w:lvlJc w:val="left"/>
      <w:pPr>
        <w:ind w:left="1260" w:hanging="360"/>
      </w:pPr>
      <w:rPr>
        <w:vertAlign w:val="baseline"/>
      </w:rPr>
    </w:lvl>
    <w:lvl w:ilvl="1">
      <w:start w:val="1"/>
      <w:numFmt w:val="decimal"/>
      <w:lvlText w:val="1.%2"/>
      <w:lvlJc w:val="left"/>
      <w:pPr>
        <w:ind w:left="1980" w:hanging="360"/>
      </w:pPr>
      <w:rPr>
        <w:b w:val="0"/>
        <w:sz w:val="24"/>
        <w:szCs w:val="24"/>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6">
    <w:lvl w:ilvl="0">
      <w:start w:val="1"/>
      <w:numFmt w:val="decimal"/>
      <w:lvlText w:val="15.%1"/>
      <w:lvlJc w:val="left"/>
      <w:pPr>
        <w:ind w:left="1287" w:hanging="360.0000000000002"/>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3.%1"/>
      <w:lvlJc w:val="left"/>
      <w:pPr>
        <w:ind w:left="1260" w:hanging="360"/>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9.%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1287" w:hanging="360.0000000000002"/>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4.%1"/>
      <w:lvlJc w:val="left"/>
      <w:pPr>
        <w:ind w:left="1287" w:hanging="360.0000000000002"/>
      </w:pPr>
      <w:rPr>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xbea2m5vwqpmccqTsf+WoabuQ==">AMUW2mVpdW5zfI59XMtSUfklcg1+wupDa2PY7FG+k4MpaAojGCVNOHNKib5HoSAp5oYyrTtbJdC0l9CNp6/0NSGvzeOxry47rlQ15U2MzoHvzKUn+c04OGg=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